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ОГЛАШЕНИЕ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передаче контрактному агентству Архангельской области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полномочий уполномоченного органа муниципального образования «___________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_______________________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___» на определение поставщиков (подрядчиков, исполнителе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й) для муниципальных заказчиков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, муниципальных бюджетных учреждений </w:t>
      </w:r>
      <w:r>
        <w:rPr>
          <w:rFonts w:ascii="PT Astra Serif" w:hAnsi="PT Astra Serif" w:eastAsia="PT Astra Serif" w:cs="PT Astra Serif"/>
          <w:b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и муниципальных унитарных предприятий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муниципальных </w:t>
      </w:r>
      <w:r>
        <w:rPr>
          <w:rFonts w:ascii="PT Astra Serif" w:hAnsi="PT Astra Serif" w:eastAsia="PT Astra Serif" w:cs="PT Astra Serif"/>
          <w:b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образований Архангельской области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г. Архангельск </w:t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«___» ______________ 20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г.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онтрактное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именуемое в дальнейшем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лице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заместителя руководителя Ермолина Алексея Александровича, действующего на основании Положения, распоряжения Губернатора Архангельской области от 19.12.2025 № 885-р, приказа руководителя контрактного агентства Архангельской области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от 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04.02.2026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№ 01/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06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 одной стороны,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  <w:br/>
        <w:t xml:space="preserve">и 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___, именуем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дальнейшем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Уполномоченный орган 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униципально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образовани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», в ли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це 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___, действующего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 основании 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 другой стороны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1.1.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Предметом настоящего соглашения является передача Агентству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полномочий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полномоченного органа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униципального образования на определение поставщиков (подрядчиков, исполнителей)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способами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(указать способ определения поставщи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ков (исполнителей, подрядчиков))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для муниципальных заказчиков, муниципальных бюджетных учреждений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и муниципальных унитарных предприятий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муниципальных образований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(далее – Заказчики).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1.2.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нформаци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необходимая для осуществления закупки,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представля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тся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аказчик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ами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заявк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 осуществление закупки.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1.3.  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Требования 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содержанию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заявк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порядок подачи такой заявки указаны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Порядке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</w:t>
      </w:r>
      <w:bookmarkStart w:id="0" w:name="_GoBack"/>
      <w:r>
        <w:rPr>
          <w:rFonts w:ascii="PT Astra Serif" w:hAnsi="PT Astra Serif" w:eastAsia="PT Astra Serif" w:cs="PT Astra Serif"/>
          <w:sz w:val="26"/>
          <w:szCs w:val="26"/>
        </w:rPr>
      </w:r>
      <w:bookmarkEnd w:id="0"/>
      <w:r>
        <w:rPr>
          <w:rFonts w:ascii="PT Astra Serif" w:hAnsi="PT Astra Serif" w:eastAsia="PT Astra Serif" w:cs="PT Astra Serif"/>
          <w:sz w:val="26"/>
          <w:szCs w:val="26"/>
        </w:rPr>
        <w:t xml:space="preserve">ых унитарных предприятий Архангельской области, муниципальных зак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азчиков,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и нужд муниципальных образований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утвержденном постановлением Правительс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тва Архангельской области от 20.12.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2013 № 595-пп (далее – Порядок взаимодействия).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Определение поставщиков (подрядчиков, исполнителей)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осуществля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тся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без взимания платы с Заказчик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2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 обязанности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функции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Агентства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Уполномоченного органа м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униципального образования и З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аказчиков</w:t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рава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обязанности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функции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 Заказчиков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определены в </w:t>
      </w:r>
      <w:hyperlink r:id="rId11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взаимодействия.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3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Срок действия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оглашения</w:t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3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Соглашение вступает в силу с момента его подписания Сторонами и действует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«___»__________ 20__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3.2.  При отсутствии письменного обращения какой-либо из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торон </w:t>
      </w:r>
      <w:r>
        <w:rPr>
          <w:rFonts w:ascii="PT Astra Serif" w:hAnsi="PT Astra Serif" w:eastAsia="PT Astra Serif" w:cs="PT Astra Serif"/>
          <w:sz w:val="26"/>
          <w:szCs w:val="26"/>
        </w:rPr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прекращении действия настоящего соглашения, направленного до истечения срока действия соглашения,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данное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соглашение считается пролонгированным на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следующий календарный год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b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.2.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Все из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менения и дополнения 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настоящему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Адреса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подписи и печати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 Сторон</w:t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Агентство</w:t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Уполномоченный орган м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униципально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го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 образовани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Тел./факс: (8182) 63-57-01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___________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: 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_________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А.А. Ермолин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</w:tr>
    </w:tbl>
    <w:p>
      <w:pPr>
        <w:pStyle w:val="867"/>
        <w:spacing w:before="0" w:after="0"/>
        <w:tabs>
          <w:tab w:val="left" w:pos="-2268" w:leader="none"/>
        </w:tabs>
        <w:rPr>
          <w:rFonts w:ascii="PT Astra Serif" w:hAnsi="PT Astra Serif" w:cs="PT Astra Serif"/>
          <w:b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sz w:val="26"/>
          <w:szCs w:val="26"/>
        </w:rPr>
      </w:r>
      <w:r>
        <w:rPr>
          <w:rFonts w:ascii="PT Astra Serif" w:hAnsi="PT Astra Serif" w:cs="PT Astra Serif"/>
          <w:b w:val="0"/>
          <w:sz w:val="26"/>
          <w:szCs w:val="26"/>
        </w:rPr>
      </w:r>
      <w:r>
        <w:rPr>
          <w:rFonts w:ascii="PT Astra Serif" w:hAnsi="PT Astra Serif" w:cs="PT Astra Serif"/>
          <w:b w:val="0"/>
          <w:sz w:val="26"/>
          <w:szCs w:val="26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1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6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6"/>
    <w:next w:val="866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8"/>
    <w:link w:val="711"/>
    <w:uiPriority w:val="10"/>
    <w:rPr>
      <w:sz w:val="48"/>
      <w:szCs w:val="48"/>
    </w:rPr>
  </w:style>
  <w:style w:type="paragraph" w:styleId="713">
    <w:name w:val="Subtitle"/>
    <w:basedOn w:val="866"/>
    <w:next w:val="866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8"/>
    <w:link w:val="713"/>
    <w:uiPriority w:val="11"/>
    <w:rPr>
      <w:sz w:val="24"/>
      <w:szCs w:val="24"/>
    </w:rPr>
  </w:style>
  <w:style w:type="paragraph" w:styleId="715">
    <w:name w:val="Quote"/>
    <w:basedOn w:val="866"/>
    <w:next w:val="866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6"/>
    <w:next w:val="866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8"/>
    <w:link w:val="875"/>
    <w:uiPriority w:val="99"/>
  </w:style>
  <w:style w:type="character" w:styleId="720">
    <w:name w:val="Footer Char"/>
    <w:basedOn w:val="868"/>
    <w:link w:val="877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7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rPr>
      <w:sz w:val="24"/>
      <w:szCs w:val="24"/>
    </w:rPr>
  </w:style>
  <w:style w:type="paragraph" w:styleId="867">
    <w:name w:val="Heading 1"/>
    <w:basedOn w:val="866"/>
    <w:next w:val="86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character" w:styleId="871">
    <w:name w:val="Hyperlink"/>
    <w:basedOn w:val="868"/>
    <w:rPr>
      <w:color w:val="0000ff"/>
      <w:u w:val="single"/>
    </w:rPr>
  </w:style>
  <w:style w:type="paragraph" w:styleId="872">
    <w:name w:val="Body Text Indent"/>
    <w:basedOn w:val="866"/>
    <w:pPr>
      <w:jc w:val="both"/>
    </w:pPr>
    <w:rPr>
      <w:szCs w:val="20"/>
    </w:rPr>
  </w:style>
  <w:style w:type="paragraph" w:styleId="873">
    <w:name w:val="Body Text Indent 3"/>
    <w:basedOn w:val="866"/>
    <w:pPr>
      <w:ind w:left="283"/>
      <w:spacing w:after="120"/>
    </w:pPr>
    <w:rPr>
      <w:sz w:val="16"/>
      <w:szCs w:val="16"/>
    </w:rPr>
  </w:style>
  <w:style w:type="paragraph" w:styleId="87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5">
    <w:name w:val="Header"/>
    <w:basedOn w:val="866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868"/>
  </w:style>
  <w:style w:type="paragraph" w:styleId="877">
    <w:name w:val="Footer"/>
    <w:basedOn w:val="866"/>
    <w:link w:val="878"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68"/>
    <w:link w:val="877"/>
    <w:rPr>
      <w:sz w:val="24"/>
      <w:szCs w:val="24"/>
    </w:rPr>
  </w:style>
  <w:style w:type="paragraph" w:styleId="879">
    <w:name w:val="Balloon Text"/>
    <w:basedOn w:val="866"/>
    <w:link w:val="880"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68"/>
    <w:link w:val="879"/>
    <w:rPr>
      <w:rFonts w:ascii="Tahoma" w:hAnsi="Tahoma" w:cs="Tahoma"/>
      <w:sz w:val="16"/>
      <w:szCs w:val="16"/>
    </w:rPr>
  </w:style>
  <w:style w:type="paragraph" w:styleId="881" w:customStyle="1">
    <w:name w:val="ConsPlusNormal"/>
    <w:rPr>
      <w:rFonts w:ascii="Arial" w:hAnsi="Arial" w:eastAsia="Calibri" w:cs="Arial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AD01-58C9-4C0C-88AD-DC0D891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9</cp:revision>
  <dcterms:created xsi:type="dcterms:W3CDTF">2025-01-15T11:16:00Z</dcterms:created>
  <dcterms:modified xsi:type="dcterms:W3CDTF">2026-02-17T07:14:10Z</dcterms:modified>
</cp:coreProperties>
</file>