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7"/>
        <w:jc w:val="center"/>
        <w:spacing w:before="0" w:after="0"/>
        <w:tabs>
          <w:tab w:val="left" w:pos="7655" w:leader="none"/>
        </w:tabs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ОГЛАШЕНИЕ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о 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передаче контрактному агентству Архангельской области</w:t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полномочий уполномоченного органа муниципального образования «___________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_______________________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___» на определение поставщиков (подрядчиков, исполнителе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й) для муниципальных заказчиков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, муниципальных бюджетных учреждений </w:t>
      </w:r>
      <w:r>
        <w:rPr>
          <w:rFonts w:ascii="PT Astra Serif" w:hAnsi="PT Astra Serif" w:eastAsia="PT Astra Serif" w:cs="PT Astra Serif"/>
          <w:b/>
          <w:sz w:val="26"/>
          <w:szCs w:val="26"/>
        </w:rPr>
        <w:br/>
      </w:r>
      <w:r>
        <w:rPr>
          <w:rFonts w:ascii="PT Astra Serif" w:hAnsi="PT Astra Serif" w:eastAsia="PT Astra Serif" w:cs="PT Astra Serif"/>
          <w:b/>
          <w:bCs/>
          <w:sz w:val="26"/>
          <w:szCs w:val="26"/>
        </w:rPr>
        <w:t xml:space="preserve">и муниципальных унитарных предприятий </w:t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муниципальных </w:t>
      </w:r>
      <w:r>
        <w:rPr>
          <w:rFonts w:ascii="PT Astra Serif" w:hAnsi="PT Astra Serif" w:eastAsia="PT Astra Serif" w:cs="PT Astra Serif"/>
          <w:b/>
          <w:sz w:val="26"/>
          <w:szCs w:val="26"/>
        </w:rPr>
        <w:br/>
      </w:r>
      <w:r>
        <w:rPr>
          <w:rFonts w:ascii="PT Astra Serif" w:hAnsi="PT Astra Serif" w:eastAsia="PT Astra Serif" w:cs="PT Astra Serif"/>
          <w:b/>
          <w:sz w:val="26"/>
          <w:szCs w:val="26"/>
        </w:rPr>
        <w:t xml:space="preserve">образований Архангельской области</w:t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г. Архангельск </w:t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ab/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   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«___» ______________ 20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г.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онтрактное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агентство Архангельской области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именуемое в дальнейшем «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Агентство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»,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 лице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заместителя руководителя Ермолина Алексея Александровича, действующего на основании Положения, распоряжения Губернатора Архангельской области от 19.12.2025 № 885-р, приказа руководителя контрактного агентства Архангельской области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от </w:t>
      </w:r>
      <w:r>
        <w:rPr>
          <w:rFonts w:ascii="PT Astra Serif" w:hAnsi="PT Astra Serif" w:eastAsia="PT Astra Serif" w:cs="PT Astra Serif"/>
          <w:sz w:val="26"/>
          <w:szCs w:val="26"/>
          <w:highlight w:val="yellow"/>
        </w:rPr>
        <w:t xml:space="preserve">04.02.2026</w:t>
      </w:r>
      <w:r>
        <w:rPr>
          <w:rFonts w:ascii="PT Astra Serif" w:hAnsi="PT Astra Serif" w:eastAsia="PT Astra Serif" w:cs="PT Astra Serif"/>
          <w:sz w:val="26"/>
          <w:szCs w:val="26"/>
          <w:highlight w:val="yellow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  <w:highlight w:val="yellow"/>
        </w:rPr>
        <w:t xml:space="preserve">№ 01/</w:t>
      </w:r>
      <w:r>
        <w:rPr>
          <w:rFonts w:ascii="PT Astra Serif" w:hAnsi="PT Astra Serif" w:eastAsia="PT Astra Serif" w:cs="PT Astra Serif"/>
          <w:sz w:val="26"/>
          <w:szCs w:val="26"/>
          <w:highlight w:val="yellow"/>
        </w:rPr>
        <w:t xml:space="preserve">06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,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 одной стороны,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  <w:br/>
        <w:t xml:space="preserve">и 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___, именуем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ый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в дальнейшем «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Уполномоченный орган 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униципально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го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образовани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», в ли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це ____________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___, действующего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на основании 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___________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_,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 другой стороны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при совместном упоминании именуемые «Стороны»,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заключили настоящее соглашение о нижеследующем.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spacing w:after="120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1. 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Предмет соглашения</w:t>
      </w:r>
      <w:r>
        <w:rPr>
          <w:rFonts w:ascii="PT Astra Serif" w:hAnsi="PT Astra Serif" w:cs="PT Astra Serif"/>
          <w:color w:val="000000"/>
          <w:sz w:val="26"/>
          <w:szCs w:val="26"/>
        </w:rPr>
      </w:r>
      <w:r>
        <w:rPr>
          <w:rFonts w:ascii="PT Astra Serif" w:hAnsi="PT Astra Serif" w:cs="PT Astra Serif"/>
          <w:color w:val="000000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1.1.</w:t>
      </w:r>
      <w:r>
        <w:rPr>
          <w:rFonts w:ascii="PT Astra Serif" w:hAnsi="PT Astra Serif" w:eastAsia="PT Astra Serif" w:cs="PT Astra Serif"/>
          <w:color w:val="000000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Предметом настоящего соглашения является передача Агентству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полномочий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полномоченного органа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униципального образования на определение поставщиков (подрядчиков, исполнителей)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способами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__________________________________________________________________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_____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(указать способ определения поставщи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ков (исполнителей, подрядчиков))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для муниципальных заказчиков, муниципальных бюджетных учреждений </w:t>
      </w:r>
      <w:r>
        <w:rPr>
          <w:rFonts w:ascii="PT Astra Serif" w:hAnsi="PT Astra Serif" w:eastAsia="PT Astra Serif" w:cs="PT Astra Serif"/>
          <w:bCs/>
          <w:sz w:val="26"/>
          <w:szCs w:val="26"/>
        </w:rPr>
        <w:t xml:space="preserve">и муниципальных унитарных предприятий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муниципальных образований Архангельской области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(далее – Заказчики).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1.2.</w:t>
      </w:r>
      <w:r>
        <w:rPr>
          <w:rFonts w:ascii="PT Astra Serif" w:hAnsi="PT Astra Serif" w:eastAsia="PT Astra Serif" w:cs="PT Astra Serif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нформаци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необходимая для осуществления закупки,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представля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тся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З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аказчик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ами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 заявк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ах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 осуществление закупки.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1.3.  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Требования к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содержанию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заявк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на осуществление закупки и прилагаемым к ней документам,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порядок подачи такой заявки указаны в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Порядке взаимодействия контрактного агентства Архангельской области, государственных заказчиков Архангельской области, государственных бюджетных учреждений Архангельской области, государственн</w:t>
      </w:r>
      <w:bookmarkStart w:id="0" w:name="_GoBack"/>
      <w:r>
        <w:rPr>
          <w:rFonts w:ascii="PT Astra Serif" w:hAnsi="PT Astra Serif" w:eastAsia="PT Astra Serif" w:cs="PT Astra Serif"/>
          <w:sz w:val="26"/>
          <w:szCs w:val="26"/>
        </w:rPr>
      </w:r>
      <w:bookmarkEnd w:id="0"/>
      <w:r>
        <w:rPr>
          <w:rFonts w:ascii="PT Astra Serif" w:hAnsi="PT Astra Serif" w:eastAsia="PT Astra Serif" w:cs="PT Astra Serif"/>
          <w:sz w:val="26"/>
          <w:szCs w:val="26"/>
        </w:rPr>
        <w:t xml:space="preserve">ых унитарных предприятий Архангельской области, муниципальных зак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азчиков, муниципальных бюджетных учреждений и муниципальных унитарных предприятий муниципальных образований Архангельской области и отдельных юридических лиц при определении поставщиков (подрядчиков, исполнителей) для обеспечения нужд Архангельской области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и нужд муниципальных образований Архангельской области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утвержденном постановлением Правительс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тва Архангельской области от 20.12.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2013 № 595-пп (далее – Порядок взаимодействия).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1.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Определение поставщиков (подрядчиков, исполнителей)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осуществля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е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тся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Агентством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без взимания платы с Заказчик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spacing w:after="120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рава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 обязанности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, функции 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Агентства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, 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br/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Уполномоченного органа м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униципального образования и З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аказчиков</w:t>
      </w:r>
      <w:r>
        <w:rPr>
          <w:rFonts w:ascii="PT Astra Serif" w:hAnsi="PT Astra Serif" w:cs="PT Astra Serif"/>
          <w:color w:val="000000"/>
          <w:sz w:val="26"/>
          <w:szCs w:val="26"/>
        </w:rPr>
      </w:r>
      <w:r>
        <w:rPr>
          <w:rFonts w:ascii="PT Astra Serif" w:hAnsi="PT Astra Serif" w:cs="PT Astra Serif"/>
          <w:color w:val="000000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2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.1.</w:t>
      </w:r>
      <w:r>
        <w:rPr>
          <w:rFonts w:ascii="PT Astra Serif" w:hAnsi="PT Astra Serif" w:eastAsia="PT Astra Serif" w:cs="PT Astra Serif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рава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обязанности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, функции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Агентства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и Заказчиков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при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определении поставщиков (подрядчиков, исполнителей)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определены в </w:t>
      </w:r>
      <w:hyperlink r:id="rId11" w:tooltip="consultantplus://offline/main?base=RLAW013;n=38373;fld=134;dst=100028" w:history="1">
        <w:r>
          <w:rPr>
            <w:rFonts w:ascii="PT Astra Serif" w:hAnsi="PT Astra Serif" w:eastAsia="PT Astra Serif" w:cs="PT Astra Serif"/>
            <w:sz w:val="26"/>
            <w:szCs w:val="26"/>
          </w:rPr>
          <w:t xml:space="preserve">Порядке</w:t>
        </w:r>
      </w:hyperlink>
      <w:r>
        <w:rPr>
          <w:rFonts w:ascii="PT Astra Serif" w:hAnsi="PT Astra Serif" w:eastAsia="PT Astra Serif" w:cs="PT Astra Serif"/>
          <w:sz w:val="26"/>
          <w:szCs w:val="26"/>
        </w:rPr>
        <w:t xml:space="preserve"> взаимодействия.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  <w:sz w:val="26"/>
          <w:szCs w:val="26"/>
        </w:rPr>
      </w:pPr>
      <w:r>
        <w:rPr>
          <w:rFonts w:ascii="PT Astra Serif" w:hAnsi="PT Astra Serif" w:eastAsia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  <w:r>
        <w:rPr>
          <w:rFonts w:ascii="PT Astra Serif" w:hAnsi="PT Astra Serif" w:cs="PT Astra Serif"/>
          <w:b/>
          <w:sz w:val="26"/>
          <w:szCs w:val="26"/>
        </w:rPr>
      </w:r>
    </w:p>
    <w:p>
      <w:pPr>
        <w:jc w:val="center"/>
        <w:spacing w:after="120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Срок действия 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оглашения</w:t>
      </w:r>
      <w:r>
        <w:rPr>
          <w:rFonts w:ascii="PT Astra Serif" w:hAnsi="PT Astra Serif" w:cs="PT Astra Serif"/>
          <w:color w:val="000000"/>
          <w:sz w:val="26"/>
          <w:szCs w:val="26"/>
        </w:rPr>
      </w:r>
      <w:r>
        <w:rPr>
          <w:rFonts w:ascii="PT Astra Serif" w:hAnsi="PT Astra Serif" w:cs="PT Astra Serif"/>
          <w:color w:val="000000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3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.1.</w:t>
      </w:r>
      <w:r>
        <w:rPr>
          <w:rFonts w:ascii="PT Astra Serif" w:hAnsi="PT Astra Serif" w:eastAsia="PT Astra Serif" w:cs="PT Astra Serif"/>
          <w:color w:val="000000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Соглашение вступает в силу с момента его подписания Сторонами и действует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по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«___»__________ 20__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г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  <w:highlight w:val="none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3.2.  При отсутствии письменного обращения какой-либо из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торон </w:t>
      </w:r>
      <w:r>
        <w:rPr>
          <w:rFonts w:ascii="PT Astra Serif" w:hAnsi="PT Astra Serif" w:eastAsia="PT Astra Serif" w:cs="PT Astra Serif"/>
          <w:sz w:val="26"/>
          <w:szCs w:val="26"/>
        </w:rPr>
        <w:br/>
      </w:r>
      <w:r>
        <w:rPr>
          <w:rFonts w:ascii="PT Astra Serif" w:hAnsi="PT Astra Serif" w:eastAsia="PT Astra Serif" w:cs="PT Astra Serif"/>
          <w:sz w:val="26"/>
          <w:szCs w:val="26"/>
        </w:rPr>
        <w:t xml:space="preserve">о прекращении действия настоящего соглашения, направленного до истечения срока действия соглашения,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данное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соглашение считается пролонгированным на 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следующий календарный год</w:t>
      </w:r>
      <w:r>
        <w:rPr>
          <w:rFonts w:ascii="PT Astra Serif" w:hAnsi="PT Astra Serif" w:eastAsia="PT Astra Serif" w:cs="PT Astra Serif"/>
          <w:sz w:val="26"/>
          <w:szCs w:val="26"/>
          <w:highlight w:val="none"/>
        </w:rPr>
        <w:t xml:space="preserve">.</w:t>
      </w:r>
      <w:r>
        <w:rPr>
          <w:rFonts w:ascii="PT Astra Serif" w:hAnsi="PT Astra Serif" w:cs="PT Astra Serif"/>
          <w:sz w:val="26"/>
          <w:szCs w:val="26"/>
          <w:highlight w:val="none"/>
        </w:rPr>
      </w:r>
      <w:r>
        <w:rPr>
          <w:rFonts w:ascii="PT Astra Serif" w:hAnsi="PT Astra Serif" w:cs="PT Astra Serif"/>
          <w:sz w:val="26"/>
          <w:szCs w:val="26"/>
          <w:highlight w:val="none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</w:r>
      <w:r>
        <w:rPr>
          <w:rFonts w:ascii="PT Astra Serif" w:hAnsi="PT Astra Serif" w:cs="PT Astra Serif"/>
          <w:color w:val="000000"/>
          <w:sz w:val="26"/>
          <w:szCs w:val="26"/>
        </w:rPr>
      </w:r>
      <w:r>
        <w:rPr>
          <w:rFonts w:ascii="PT Astra Serif" w:hAnsi="PT Astra Serif" w:cs="PT Astra Serif"/>
          <w:color w:val="000000"/>
          <w:sz w:val="26"/>
          <w:szCs w:val="26"/>
        </w:rPr>
      </w:r>
    </w:p>
    <w:p>
      <w:pPr>
        <w:jc w:val="center"/>
        <w:spacing w:after="120"/>
        <w:rPr>
          <w:rFonts w:ascii="PT Astra Serif" w:hAnsi="PT Astra Serif" w:cs="PT Astra Serif"/>
          <w:b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Прочие условия</w:t>
      </w:r>
      <w:r>
        <w:rPr>
          <w:rFonts w:ascii="PT Astra Serif" w:hAnsi="PT Astra Serif" w:cs="PT Astra Serif"/>
          <w:b/>
          <w:color w:val="000000"/>
          <w:sz w:val="26"/>
          <w:szCs w:val="26"/>
        </w:rPr>
      </w:r>
      <w:r>
        <w:rPr>
          <w:rFonts w:ascii="PT Astra Serif" w:hAnsi="PT Astra Serif" w:cs="PT Astra Serif"/>
          <w:b/>
          <w:color w:val="000000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.1.</w:t>
      </w:r>
      <w:r>
        <w:rPr>
          <w:rFonts w:ascii="PT Astra Serif" w:hAnsi="PT Astra Serif" w:eastAsia="PT Astra Serif" w:cs="PT Astra Serif"/>
          <w:color w:val="000000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Во всем, что не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предусмотрено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 настоящ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и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м 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оглашени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ем</w:t>
      </w:r>
      <w:r>
        <w:rPr>
          <w:rFonts w:ascii="PT Astra Serif" w:hAnsi="PT Astra Serif" w:eastAsia="PT Astra Serif" w:cs="PT Astra Serif"/>
          <w:color w:val="000000"/>
          <w:sz w:val="26"/>
          <w:szCs w:val="26"/>
        </w:rPr>
        <w:t xml:space="preserve">, Стороны руководствуются законодательством Российской Федерации.</w:t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  <w:t xml:space="preserve">4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.2.</w:t>
      </w:r>
      <w:r>
        <w:rPr>
          <w:rFonts w:ascii="PT Astra Serif" w:hAnsi="PT Astra Serif" w:eastAsia="PT Astra Serif" w:cs="PT Astra Serif"/>
          <w:sz w:val="26"/>
          <w:szCs w:val="26"/>
          <w:lang w:val="en-US"/>
        </w:rPr>
        <w:t xml:space="preserve">  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Все из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менения и дополнения к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настоящему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 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с</w:t>
      </w:r>
      <w:r>
        <w:rPr>
          <w:rFonts w:ascii="PT Astra Serif" w:hAnsi="PT Astra Serif" w:eastAsia="PT Astra Serif" w:cs="PT Astra Serif"/>
          <w:sz w:val="26"/>
          <w:szCs w:val="26"/>
        </w:rPr>
        <w:t xml:space="preserve">оглашению оформляются дополнительными соглашениями, которые должны быть подписаны Сторонами.</w:t>
      </w:r>
      <w:r>
        <w:rPr>
          <w:rFonts w:ascii="PT Astra Serif" w:hAnsi="PT Astra Serif" w:cs="PT Astra Serif"/>
          <w:color w:val="000000"/>
          <w:sz w:val="26"/>
          <w:szCs w:val="26"/>
        </w:rPr>
      </w:r>
      <w:r>
        <w:rPr>
          <w:rFonts w:ascii="PT Astra Serif" w:hAnsi="PT Astra Serif" w:cs="PT Astra Serif"/>
          <w:color w:val="000000"/>
          <w:sz w:val="26"/>
          <w:szCs w:val="26"/>
        </w:rPr>
      </w:r>
    </w:p>
    <w:p>
      <w:pPr>
        <w:ind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eastAsia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  <w:r>
        <w:rPr>
          <w:rFonts w:ascii="PT Astra Serif" w:hAnsi="PT Astra Serif" w:cs="PT Astra Serif"/>
          <w:sz w:val="26"/>
          <w:szCs w:val="26"/>
        </w:rPr>
      </w:r>
    </w:p>
    <w:p>
      <w:pPr>
        <w:jc w:val="center"/>
        <w:rPr>
          <w:rFonts w:ascii="PT Astra Serif" w:hAnsi="PT Astra Serif" w:cs="PT Astra Serif"/>
          <w:b/>
          <w:color w:val="000000"/>
          <w:sz w:val="26"/>
          <w:szCs w:val="26"/>
        </w:rPr>
      </w:pP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5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.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  <w:lang w:val="en-US"/>
        </w:rPr>
        <w:t xml:space="preserve"> 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Адреса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, подписи и печати</w:t>
      </w:r>
      <w:r>
        <w:rPr>
          <w:rFonts w:ascii="PT Astra Serif" w:hAnsi="PT Astra Serif" w:eastAsia="PT Astra Serif" w:cs="PT Astra Serif"/>
          <w:b/>
          <w:color w:val="000000"/>
          <w:sz w:val="26"/>
          <w:szCs w:val="26"/>
        </w:rPr>
        <w:t xml:space="preserve"> Сторон</w:t>
      </w:r>
      <w:r>
        <w:rPr>
          <w:rFonts w:ascii="PT Astra Serif" w:hAnsi="PT Astra Serif" w:cs="PT Astra Serif"/>
          <w:b/>
          <w:color w:val="000000"/>
          <w:sz w:val="26"/>
          <w:szCs w:val="26"/>
        </w:rPr>
      </w:r>
      <w:r>
        <w:rPr>
          <w:rFonts w:ascii="PT Astra Serif" w:hAnsi="PT Astra Serif" w:cs="PT Astra Serif"/>
          <w:b/>
          <w:color w:val="000000"/>
          <w:sz w:val="26"/>
          <w:szCs w:val="26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511"/>
        <w:gridCol w:w="133"/>
        <w:gridCol w:w="4926"/>
      </w:tblGrid>
      <w:tr>
        <w:tblPrEx/>
        <w:trPr>
          <w:trHeight w:val="598"/>
        </w:trPr>
        <w:tc>
          <w:tcPr>
            <w:tcW w:w="4511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  <w:lang w:val="en-US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  <w:t xml:space="preserve">Агентство</w:t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gridSpan w:val="2"/>
            <w:tcW w:w="5059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  <w:lang w:val="en-US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  <w:t xml:space="preserve">Уполномоченный орган м</w:t>
            </w: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  <w:t xml:space="preserve">униципально</w:t>
            </w: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  <w:t xml:space="preserve">го</w:t>
            </w: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  <w:t xml:space="preserve"> образовани</w:t>
            </w: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  <w:t xml:space="preserve">я</w:t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b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1618"/>
        </w:trPr>
        <w:tc>
          <w:tcPr>
            <w:gridSpan w:val="2"/>
            <w:tcW w:w="4644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Контрактное а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гентство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Архангельской области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163069, г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Архангельск, 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ул. Выучейского,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д. 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18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Тел./факс: (8182) 63-57-01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  <w:tc>
          <w:tcPr>
            <w:tcW w:w="492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______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___________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________________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_____________________________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Место нахождения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: ______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______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 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_____________________________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Телефон (факс):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 _________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__________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</w:tc>
      </w:tr>
      <w:tr>
        <w:tblPrEx/>
        <w:trPr>
          <w:trHeight w:val="71"/>
        </w:trPr>
        <w:tc>
          <w:tcPr>
            <w:gridSpan w:val="2"/>
            <w:tcW w:w="4644" w:type="dxa"/>
            <w:textDirection w:val="lrTb"/>
            <w:noWrap w:val="false"/>
          </w:tcPr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Заместитель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руководителя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br/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_________________ </w:t>
            </w: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А.А. Ермолин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jc w:val="both"/>
              <w:tabs>
                <w:tab w:val="left" w:pos="2443" w:leader="none"/>
              </w:tabs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М.П.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</w:tc>
        <w:tc>
          <w:tcPr>
            <w:tcW w:w="4926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sz w:val="26"/>
                <w:szCs w:val="26"/>
              </w:rPr>
              <w:t xml:space="preserve">_________________</w:t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  <w:r>
              <w:rPr>
                <w:rFonts w:ascii="PT Astra Serif" w:hAnsi="PT Astra Serif" w:cs="PT Astra Serif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  <w:p>
            <w:pPr>
              <w:rPr>
                <w:rFonts w:ascii="PT Astra Serif" w:hAnsi="PT Astra Serif" w:cs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М.П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.</w:t>
            </w:r>
            <w:r>
              <w:rPr>
                <w:rFonts w:ascii="PT Astra Serif" w:hAnsi="PT Astra Serif" w:eastAsia="PT Astra Serif" w:cs="PT Astra Serif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  <w:r>
              <w:rPr>
                <w:rFonts w:ascii="PT Astra Serif" w:hAnsi="PT Astra Serif" w:cs="PT Astra Serif"/>
                <w:color w:val="000000"/>
                <w:sz w:val="26"/>
                <w:szCs w:val="26"/>
              </w:rPr>
            </w:r>
          </w:p>
        </w:tc>
      </w:tr>
    </w:tbl>
    <w:p>
      <w:pPr>
        <w:pStyle w:val="867"/>
        <w:spacing w:before="0" w:after="0"/>
        <w:tabs>
          <w:tab w:val="left" w:pos="-2268" w:leader="none"/>
        </w:tabs>
        <w:rPr>
          <w:rFonts w:ascii="PT Astra Serif" w:hAnsi="PT Astra Serif" w:cs="PT Astra Serif"/>
          <w:b w:val="0"/>
          <w:sz w:val="26"/>
          <w:szCs w:val="26"/>
        </w:rPr>
      </w:pPr>
      <w:r>
        <w:rPr>
          <w:rFonts w:ascii="PT Astra Serif" w:hAnsi="PT Astra Serif" w:eastAsia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  <w:r>
        <w:rPr>
          <w:rFonts w:ascii="PT Astra Serif" w:hAnsi="PT Astra Serif" w:cs="PT Astra Serif"/>
          <w:b w:val="0"/>
          <w:sz w:val="26"/>
          <w:szCs w:val="26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rPr>
        <w:rStyle w:val="876"/>
      </w:rPr>
      <w:framePr w:wrap="around" w:vAnchor="text" w:hAnchor="margin" w:xAlign="center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separate"/>
    </w:r>
    <w:r>
      <w:rPr>
        <w:rStyle w:val="876"/>
      </w:rPr>
      <w:t xml:space="preserve">2</w:t>
    </w:r>
    <w:r>
      <w:rPr>
        <w:rStyle w:val="876"/>
      </w:rPr>
      <w:fldChar w:fldCharType="end"/>
    </w:r>
    <w:r>
      <w:rPr>
        <w:rStyle w:val="876"/>
      </w:rPr>
    </w:r>
    <w:r>
      <w:rPr>
        <w:rStyle w:val="876"/>
      </w:rPr>
    </w:r>
  </w:p>
  <w:p>
    <w:pPr>
      <w:pStyle w:val="87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rPr>
        <w:rStyle w:val="876"/>
      </w:rPr>
      <w:framePr w:wrap="around" w:vAnchor="text" w:hAnchor="margin" w:xAlign="center" w:y="1"/>
    </w:pPr>
    <w:r>
      <w:rPr>
        <w:rStyle w:val="876"/>
      </w:rPr>
      <w:fldChar w:fldCharType="begin"/>
    </w:r>
    <w:r>
      <w:rPr>
        <w:rStyle w:val="876"/>
      </w:rPr>
      <w:instrText xml:space="preserve">PAGE  </w:instrText>
    </w:r>
    <w:r>
      <w:rPr>
        <w:rStyle w:val="876"/>
      </w:rPr>
      <w:fldChar w:fldCharType="end"/>
    </w:r>
    <w:r>
      <w:rPr>
        <w:rStyle w:val="876"/>
      </w:rPr>
    </w:r>
    <w:r>
      <w:rPr>
        <w:rStyle w:val="876"/>
      </w:rPr>
    </w:r>
  </w:p>
  <w:p>
    <w:pPr>
      <w:pStyle w:val="875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1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2">
    <w:name w:val="Heading 1 Char"/>
    <w:basedOn w:val="868"/>
    <w:link w:val="867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6"/>
    <w:next w:val="866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8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6"/>
    <w:next w:val="866"/>
    <w:link w:val="6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8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6"/>
    <w:next w:val="866"/>
    <w:link w:val="6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8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6"/>
    <w:next w:val="866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8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6"/>
    <w:next w:val="866"/>
    <w:link w:val="7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8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6"/>
    <w:next w:val="866"/>
    <w:link w:val="7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8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6"/>
    <w:next w:val="866"/>
    <w:link w:val="7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8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6"/>
    <w:next w:val="866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8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6"/>
    <w:uiPriority w:val="34"/>
    <w:qFormat/>
    <w:pPr>
      <w:contextualSpacing/>
      <w:ind w:left="720"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6"/>
    <w:next w:val="866"/>
    <w:link w:val="71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2">
    <w:name w:val="Title Char"/>
    <w:basedOn w:val="868"/>
    <w:link w:val="711"/>
    <w:uiPriority w:val="10"/>
    <w:rPr>
      <w:sz w:val="48"/>
      <w:szCs w:val="48"/>
    </w:rPr>
  </w:style>
  <w:style w:type="paragraph" w:styleId="713">
    <w:name w:val="Subtitle"/>
    <w:basedOn w:val="866"/>
    <w:next w:val="866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basedOn w:val="868"/>
    <w:link w:val="713"/>
    <w:uiPriority w:val="11"/>
    <w:rPr>
      <w:sz w:val="24"/>
      <w:szCs w:val="24"/>
    </w:rPr>
  </w:style>
  <w:style w:type="paragraph" w:styleId="715">
    <w:name w:val="Quote"/>
    <w:basedOn w:val="866"/>
    <w:next w:val="866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6"/>
    <w:next w:val="866"/>
    <w:link w:val="71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character" w:styleId="719">
    <w:name w:val="Header Char"/>
    <w:basedOn w:val="868"/>
    <w:link w:val="875"/>
    <w:uiPriority w:val="99"/>
  </w:style>
  <w:style w:type="character" w:styleId="720">
    <w:name w:val="Footer Char"/>
    <w:basedOn w:val="868"/>
    <w:link w:val="877"/>
    <w:uiPriority w:val="99"/>
  </w:style>
  <w:style w:type="paragraph" w:styleId="721">
    <w:name w:val="Caption"/>
    <w:basedOn w:val="866"/>
    <w:next w:val="8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2">
    <w:name w:val="Caption Char"/>
    <w:basedOn w:val="721"/>
    <w:link w:val="877"/>
    <w:uiPriority w:val="99"/>
  </w:style>
  <w:style w:type="table" w:styleId="723">
    <w:name w:val="Table Grid"/>
    <w:basedOn w:val="86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Table Grid Light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Plain Table 1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6">
    <w:name w:val="Plain Table 2"/>
    <w:basedOn w:val="86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8">
    <w:name w:val="Plain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Plain Table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0">
    <w:name w:val="Grid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2">
    <w:name w:val="Grid Table 4 - Accent 1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3">
    <w:name w:val="Grid Table 4 - Accent 2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4">
    <w:name w:val="Grid Table 4 - Accent 3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5">
    <w:name w:val="Grid Table 4 - Accent 4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6">
    <w:name w:val="Grid Table 4 - Accent 5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7">
    <w:name w:val="Grid Table 4 - Accent 6"/>
    <w:basedOn w:val="86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8">
    <w:name w:val="Grid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9">
    <w:name w:val="Grid Table 5 Dark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5">
    <w:name w:val="Grid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6">
    <w:name w:val="Grid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7">
    <w:name w:val="Grid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8">
    <w:name w:val="Grid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9">
    <w:name w:val="Grid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0">
    <w:name w:val="Grid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1">
    <w:name w:val="Grid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7">
    <w:name w:val="List Table 2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8">
    <w:name w:val="List Table 2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9">
    <w:name w:val="List Table 2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0">
    <w:name w:val="List Table 2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1">
    <w:name w:val="List Table 2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2">
    <w:name w:val="List Table 2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3">
    <w:name w:val="List Table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5 Dark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6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5">
    <w:name w:val="List Table 6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6">
    <w:name w:val="List Table 6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7">
    <w:name w:val="List Table 6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8">
    <w:name w:val="List Table 6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9">
    <w:name w:val="List Table 6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0">
    <w:name w:val="List Table 6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1">
    <w:name w:val="List Table 7 Colorful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2">
    <w:name w:val="List Table 7 Colorful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3">
    <w:name w:val="List Table 7 Colorful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4">
    <w:name w:val="List Table 7 Colorful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5">
    <w:name w:val="List Table 7 Colorful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6">
    <w:name w:val="List Table 7 Colorful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7">
    <w:name w:val="List Table 7 Colorful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8">
    <w:name w:val="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0">
    <w:name w:val="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1">
    <w:name w:val="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2">
    <w:name w:val="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3">
    <w:name w:val="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4">
    <w:name w:val="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5">
    <w:name w:val="Bordered &amp; Lined - Accent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Bordered &amp; Lined - Accent 1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Bordered &amp; Lined - Accent 2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Bordered &amp; Lined - Accent 3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Bordered &amp; Lined - Accent 4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Bordered &amp; Lined - Accent 5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Bordered &amp; Lined - Accent 6"/>
    <w:basedOn w:val="86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3">
    <w:name w:val="Bordered - Accent 1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4">
    <w:name w:val="Bordered - Accent 2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5">
    <w:name w:val="Bordered - Accent 3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6">
    <w:name w:val="Bordered - Accent 4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7">
    <w:name w:val="Bordered - Accent 5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8">
    <w:name w:val="Bordered - Accent 6"/>
    <w:basedOn w:val="86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68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68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  <w:rPr>
      <w:sz w:val="24"/>
      <w:szCs w:val="24"/>
    </w:rPr>
  </w:style>
  <w:style w:type="paragraph" w:styleId="867">
    <w:name w:val="Heading 1"/>
    <w:basedOn w:val="866"/>
    <w:next w:val="866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868" w:default="1">
    <w:name w:val="Default Paragraph Font"/>
    <w:uiPriority w:val="1"/>
    <w:semiHidden/>
    <w:unhideWhenUsed/>
  </w:style>
  <w:style w:type="table" w:styleId="8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0" w:default="1">
    <w:name w:val="No List"/>
    <w:uiPriority w:val="99"/>
    <w:semiHidden/>
    <w:unhideWhenUsed/>
  </w:style>
  <w:style w:type="character" w:styleId="871">
    <w:name w:val="Hyperlink"/>
    <w:basedOn w:val="868"/>
    <w:rPr>
      <w:color w:val="0000ff"/>
      <w:u w:val="single"/>
    </w:rPr>
  </w:style>
  <w:style w:type="paragraph" w:styleId="872">
    <w:name w:val="Body Text Indent"/>
    <w:basedOn w:val="866"/>
    <w:pPr>
      <w:jc w:val="both"/>
    </w:pPr>
    <w:rPr>
      <w:szCs w:val="20"/>
    </w:rPr>
  </w:style>
  <w:style w:type="paragraph" w:styleId="873">
    <w:name w:val="Body Text Indent 3"/>
    <w:basedOn w:val="866"/>
    <w:pPr>
      <w:ind w:left="283"/>
      <w:spacing w:after="120"/>
    </w:pPr>
    <w:rPr>
      <w:sz w:val="16"/>
      <w:szCs w:val="16"/>
    </w:rPr>
  </w:style>
  <w:style w:type="paragraph" w:styleId="87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75">
    <w:name w:val="Header"/>
    <w:basedOn w:val="866"/>
    <w:pPr>
      <w:tabs>
        <w:tab w:val="center" w:pos="4677" w:leader="none"/>
        <w:tab w:val="right" w:pos="9355" w:leader="none"/>
      </w:tabs>
    </w:pPr>
  </w:style>
  <w:style w:type="character" w:styleId="876">
    <w:name w:val="page number"/>
    <w:basedOn w:val="868"/>
  </w:style>
  <w:style w:type="paragraph" w:styleId="877">
    <w:name w:val="Footer"/>
    <w:basedOn w:val="866"/>
    <w:link w:val="878"/>
    <w:pPr>
      <w:tabs>
        <w:tab w:val="center" w:pos="4677" w:leader="none"/>
        <w:tab w:val="right" w:pos="9355" w:leader="none"/>
      </w:tabs>
    </w:pPr>
  </w:style>
  <w:style w:type="character" w:styleId="878" w:customStyle="1">
    <w:name w:val="Нижний колонтитул Знак"/>
    <w:basedOn w:val="868"/>
    <w:link w:val="877"/>
    <w:rPr>
      <w:sz w:val="24"/>
      <w:szCs w:val="24"/>
    </w:rPr>
  </w:style>
  <w:style w:type="paragraph" w:styleId="879">
    <w:name w:val="Balloon Text"/>
    <w:basedOn w:val="866"/>
    <w:link w:val="880"/>
    <w:rPr>
      <w:rFonts w:ascii="Tahoma" w:hAnsi="Tahoma" w:cs="Tahoma"/>
      <w:sz w:val="16"/>
      <w:szCs w:val="16"/>
    </w:rPr>
  </w:style>
  <w:style w:type="character" w:styleId="880" w:customStyle="1">
    <w:name w:val="Текст выноски Знак"/>
    <w:basedOn w:val="868"/>
    <w:link w:val="879"/>
    <w:rPr>
      <w:rFonts w:ascii="Tahoma" w:hAnsi="Tahoma" w:cs="Tahoma"/>
      <w:sz w:val="16"/>
      <w:szCs w:val="16"/>
    </w:rPr>
  </w:style>
  <w:style w:type="paragraph" w:styleId="881" w:customStyle="1">
    <w:name w:val="ConsPlusNormal"/>
    <w:rPr>
      <w:rFonts w:ascii="Arial" w:hAnsi="Arial" w:eastAsia="Calibri" w:cs="Arial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customXml" Target="../customXml/item1.xml" /><Relationship Id="rId11" Type="http://schemas.openxmlformats.org/officeDocument/2006/relationships/hyperlink" Target="consultantplus://offline/main?base=RLAW013;n=38373;fld=134;dst=10002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1AD01-58C9-4C0C-88AD-DC0D891F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MoBIL GROUP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Шантурина</dc:creator>
  <cp:revision>9</cp:revision>
  <dcterms:created xsi:type="dcterms:W3CDTF">2025-01-15T11:16:00Z</dcterms:created>
  <dcterms:modified xsi:type="dcterms:W3CDTF">2026-02-17T07:14:10Z</dcterms:modified>
</cp:coreProperties>
</file>