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ОГЛАШЕНИЕ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63"/>
        <w:jc w:val="center"/>
        <w:spacing w:before="0" w:after="0"/>
        <w:tabs>
          <w:tab w:val="left" w:pos="5400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 проведении совместн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sz w:val="28"/>
          <w:szCs w:val="28"/>
        </w:rPr>
        <w:br/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 заключения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г. Архангельск 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«___» ______________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онтрактное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именуемое </w:t>
        <w:br/>
        <w:t xml:space="preserve">в дальнейшем «Организатор»,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лице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Гашева Андрея Николаевича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действующе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основании Положения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распоряжения Губернатора Архангельской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20.01.2014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19.12.2025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01/</w:t>
      </w:r>
      <w:r>
        <w:rPr>
          <w:rFonts w:ascii="PT Astra Serif" w:hAnsi="PT Astra Serif" w:eastAsia="PT Astra Serif" w:cs="PT Astra Serif"/>
          <w:sz w:val="28"/>
          <w:szCs w:val="28"/>
          <w:highlight w:val="yellow"/>
        </w:rPr>
        <w:t xml:space="preserve">72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одной стороны,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именуемое в дальнейшем «Заказчик», в 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 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____, действующего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другой стороны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3"/>
        <w:ind w:firstLine="709"/>
        <w:jc w:val="both"/>
        <w:spacing w:before="0" w:after="0"/>
        <w:tabs>
          <w:tab w:val="left" w:pos="5400" w:leader="none"/>
        </w:tabs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1.1.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Заказчик поруча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т, а Организатор принимает на себя обязательства по </w:t>
      </w:r>
      <w:r>
        <w:rPr>
          <w:rFonts w:ascii="PT Astra Serif" w:hAnsi="PT Astra Serif" w:eastAsia="PT Astra Serif" w:cs="PT Astra Serif"/>
          <w:b w:val="0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и проведению совместного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открытого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аукциона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в электронной форме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на право заключе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ния контракта на 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________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__ (далее –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совместный 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аукцион).</w:t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1.2.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нформаци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объекте закупки, а также о месте, сроках (периодах) и иных условиях поставок товаров, выполнения рабо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т, оказания услуг,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начальн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(максимальн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цен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контракта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(начальные цены единиц товара, работ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ы, услуги в случае, предусмотренном </w:t>
      </w:r>
      <w:hyperlink w:tooltip="24.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настоящего Федерального закона требований к закупаемым заказчиком товару, " w:anchor="Par490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частью 24 статьи 22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Федерального закона от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апреля 2013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представляются Заказчиком в заявке на осуществление закупки.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Требования к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содержанию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заявки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порядок подачи такой заявки указаны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Порядк</w:t>
        </w:r>
        <w:r>
          <w:rPr>
            <w:rFonts w:ascii="PT Astra Serif" w:hAnsi="PT Astra Serif" w:eastAsia="PT Astra Serif" w:cs="PT Astra Serif"/>
            <w:sz w:val="28"/>
            <w:szCs w:val="28"/>
            <w:highlight w:val="none"/>
          </w:rPr>
          <w:t xml:space="preserve">е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взаимодействия контрактного агентства Архангельской области, главных распорядителей средств областного и местных бюджетов, государственных заказчиков Архангельской области, государственных бюджетных учреждений Архангельской области,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государственных унитарных предприятий Архангельской области, муниципальных заказчиков, муниципальных бюджетных учреждений и муниципальных унитарных предприятий муниципальных образований Архангельской области при проведении совместных конкурсов и аукционов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утвержденном постановлением Правительства Архангельской области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от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0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8 июля 2014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года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№ </w:t>
      </w:r>
      <w:r>
        <w:rPr>
          <w:rFonts w:ascii="PT Astra Serif" w:hAnsi="PT Astra Serif" w:eastAsia="PT Astra Serif" w:cs="PT Astra Serif"/>
          <w:bCs/>
          <w:color w:val="000000"/>
          <w:sz w:val="28"/>
          <w:szCs w:val="28"/>
        </w:rPr>
        <w:t xml:space="preserve">272-пп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 Порядок взаимодействия).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Организация и проведение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осуществляются Организатором без взимания платы с Заказчика.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2. Сроки размещения извещения об осуществлении закупки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2.1.  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размещает в единой информационной системе в сфере закупок извещение об осуществлении закупки в сроки, определенные в Порядке взаимодействия.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 обязанности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 ответственность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Сторон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рава и обязанности Сторон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определены в </w:t>
      </w:r>
      <w:hyperlink r:id="rId12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взаимодействия.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68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Комиссия по осуществлению закупки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поставщиков (подрядчиков, исполнителей) при проведении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аукциона Организатор создает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омиссию по осуществлению закупок для обеспечения нужд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–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омиссия).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4.2.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омиссия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формируется и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осуществляет свою деятельность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в соответствии с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омиссии, утвержд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енн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распоряжением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Организатора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4.3.</w:t>
      </w:r>
      <w:r>
        <w:rPr>
          <w:rFonts w:ascii="PT Astra Serif" w:hAnsi="PT Astra Serif" w:eastAsia="PT Astra Serif" w:cs="PT Astra Serif"/>
          <w:bCs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Положение о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омиссии размещается Организатором на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официальном сайте государственной информационной системы Архангельской </w:t>
      </w:r>
      <w:r>
        <w:rPr>
          <w:rFonts w:ascii="PT Astra Serif" w:hAnsi="PT Astra Serif" w:eastAsia="PT Astra Serif" w:cs="PT Astra Serif"/>
          <w:iCs/>
          <w:spacing w:val="-6"/>
          <w:sz w:val="28"/>
          <w:szCs w:val="28"/>
        </w:rPr>
        <w:t xml:space="preserve">области 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«Региональная информационная система управления закупками Архангельской области, интегрированная с единой информационной системой в сфере закупок» в информационно-телекоммуникационной сети «Интернет» по адресу: </w:t>
      </w:r>
      <w:r>
        <w:rPr>
          <w:rFonts w:ascii="PT Astra Serif" w:hAnsi="PT Astra Serif" w:eastAsia="PT Astra Serif" w:cs="PT Astra Serif"/>
          <w:iCs/>
          <w:sz w:val="28"/>
          <w:szCs w:val="28"/>
          <w:lang w:val="en-US"/>
        </w:rPr>
        <w:t xml:space="preserve">zakupki</w:t>
      </w:r>
      <w:r>
        <w:rPr>
          <w:rFonts w:ascii="PT Astra Serif" w:hAnsi="PT Astra Serif" w:eastAsia="PT Astra Serif" w:cs="PT Astra Serif"/>
          <w:iCs/>
          <w:sz w:val="28"/>
          <w:szCs w:val="28"/>
        </w:rPr>
        <w:t xml:space="preserve">.dvinaland.ru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Порядок рассмотрения споров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Все споры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которые могут возникнут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в ходе исполнения настоящего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оглашения, будут разрешаться Сторонами путем переговоров и консультаций.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</w:t>
      </w: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 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менения и дополнения к данному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.3.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Соглашение вступает в силу с момента его подписания Сторонами и действует до окончания выполнения Сторонами взаимных обязательств по настоящему соглашению.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Адреса и реквизиты Сторон</w:t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color w:val="000000"/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Организатор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Заказчик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Тел./факс: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+7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(8182) 63-57-01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_____________________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separate"/>
    </w:r>
    <w:r>
      <w:rPr>
        <w:rStyle w:val="872"/>
      </w:rPr>
      <w:t xml:space="preserve">3</w: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4"/>
    <w:link w:val="863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2"/>
    <w:next w:val="862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4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2"/>
    <w:next w:val="862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4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2"/>
    <w:next w:val="86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4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4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4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2"/>
    <w:next w:val="862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2"/>
    <w:next w:val="862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4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4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2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2"/>
    <w:next w:val="862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4"/>
    <w:link w:val="709"/>
    <w:uiPriority w:val="10"/>
    <w:rPr>
      <w:sz w:val="48"/>
      <w:szCs w:val="48"/>
    </w:rPr>
  </w:style>
  <w:style w:type="paragraph" w:styleId="711">
    <w:name w:val="Subtitle"/>
    <w:basedOn w:val="862"/>
    <w:next w:val="862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4"/>
    <w:link w:val="711"/>
    <w:uiPriority w:val="11"/>
    <w:rPr>
      <w:sz w:val="24"/>
      <w:szCs w:val="24"/>
    </w:rPr>
  </w:style>
  <w:style w:type="paragraph" w:styleId="713">
    <w:name w:val="Quote"/>
    <w:basedOn w:val="862"/>
    <w:next w:val="862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2"/>
    <w:next w:val="862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4"/>
    <w:link w:val="871"/>
    <w:uiPriority w:val="99"/>
  </w:style>
  <w:style w:type="character" w:styleId="718">
    <w:name w:val="Footer Char"/>
    <w:basedOn w:val="864"/>
    <w:link w:val="873"/>
    <w:uiPriority w:val="99"/>
  </w:style>
  <w:style w:type="paragraph" w:styleId="719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3"/>
    <w:uiPriority w:val="99"/>
  </w:style>
  <w:style w:type="table" w:styleId="721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Footnote Text Char"/>
    <w:link w:val="878"/>
    <w:uiPriority w:val="99"/>
    <w:rPr>
      <w:sz w:val="18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4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4"/>
      <w:szCs w:val="24"/>
    </w:rPr>
  </w:style>
  <w:style w:type="paragraph" w:styleId="863">
    <w:name w:val="Heading 1"/>
    <w:basedOn w:val="862"/>
    <w:next w:val="86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>
    <w:name w:val="Hyperlink"/>
    <w:basedOn w:val="864"/>
    <w:rPr>
      <w:color w:val="0000ff"/>
      <w:u w:val="single"/>
    </w:rPr>
  </w:style>
  <w:style w:type="paragraph" w:styleId="868">
    <w:name w:val="Body Text Indent"/>
    <w:basedOn w:val="862"/>
    <w:pPr>
      <w:jc w:val="both"/>
    </w:pPr>
    <w:rPr>
      <w:szCs w:val="20"/>
    </w:rPr>
  </w:style>
  <w:style w:type="paragraph" w:styleId="869">
    <w:name w:val="Body Text Indent 3"/>
    <w:basedOn w:val="862"/>
    <w:pPr>
      <w:ind w:left="283"/>
      <w:spacing w:after="120"/>
    </w:pPr>
    <w:rPr>
      <w:sz w:val="16"/>
      <w:szCs w:val="16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Header"/>
    <w:basedOn w:val="862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64"/>
  </w:style>
  <w:style w:type="paragraph" w:styleId="873">
    <w:name w:val="Footer"/>
    <w:basedOn w:val="862"/>
    <w:link w:val="874"/>
    <w:pPr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4"/>
    <w:link w:val="873"/>
    <w:rPr>
      <w:sz w:val="24"/>
      <w:szCs w:val="24"/>
    </w:rPr>
  </w:style>
  <w:style w:type="paragraph" w:styleId="875">
    <w:name w:val="Balloon Text"/>
    <w:basedOn w:val="862"/>
    <w:link w:val="876"/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4"/>
    <w:link w:val="875"/>
    <w:rPr>
      <w:rFonts w:ascii="Tahoma" w:hAnsi="Tahoma" w:cs="Tahoma"/>
      <w:sz w:val="16"/>
      <w:szCs w:val="16"/>
    </w:rPr>
  </w:style>
  <w:style w:type="paragraph" w:styleId="877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78">
    <w:name w:val="footnote text"/>
    <w:basedOn w:val="862"/>
    <w:link w:val="879"/>
    <w:semiHidden/>
    <w:unhideWhenUsed/>
    <w:rPr>
      <w:sz w:val="20"/>
      <w:szCs w:val="20"/>
    </w:rPr>
  </w:style>
  <w:style w:type="character" w:styleId="879" w:customStyle="1">
    <w:name w:val="Текст сноски Знак"/>
    <w:basedOn w:val="864"/>
    <w:link w:val="878"/>
    <w:semiHidden/>
  </w:style>
  <w:style w:type="character" w:styleId="880">
    <w:name w:val="footnote reference"/>
    <w:basedOn w:val="864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Relationship Id="rId12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18BD-2F2F-487A-9A1A-D2747020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5</cp:revision>
  <dcterms:created xsi:type="dcterms:W3CDTF">2023-03-27T12:19:00Z</dcterms:created>
  <dcterms:modified xsi:type="dcterms:W3CDTF">2026-01-14T12:45:52Z</dcterms:modified>
</cp:coreProperties>
</file>